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2D" w:rsidRPr="00A2012D" w:rsidRDefault="00E327A9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            </w:t>
      </w:r>
      <w:r w:rsidR="00A2012D" w:rsidRPr="00E327A9">
        <w:rPr>
          <w:rFonts w:ascii="Roboto" w:eastAsia="Times New Roman" w:hAnsi="Roboto" w:cs="Arial"/>
          <w:b/>
          <w:sz w:val="24"/>
          <w:szCs w:val="24"/>
          <w:lang w:eastAsia="ru-RU"/>
        </w:rPr>
        <w:t>ПРОФИЛАКТИКА АРТЕРИАЛЬНОЙ ГИПЕРТОНИИ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720"/>
        <w:jc w:val="center"/>
        <w:rPr>
          <w:rFonts w:ascii="Roboto" w:eastAsia="Times New Roman" w:hAnsi="Roboto" w:cs="Arial"/>
          <w:sz w:val="24"/>
          <w:szCs w:val="24"/>
          <w:lang w:eastAsia="ru-RU"/>
        </w:rPr>
      </w:pPr>
      <w:r w:rsidRPr="00E327A9">
        <w:rPr>
          <w:rFonts w:ascii="Roboto" w:eastAsia="Times New Roman" w:hAnsi="Roboto" w:cs="Arial"/>
          <w:sz w:val="24"/>
          <w:szCs w:val="24"/>
          <w:lang w:eastAsia="ru-RU"/>
        </w:rPr>
        <w:t>Памятка для населения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-426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Артериальная гипертония (гипертензия, гипертоническая болезнь) - является одним из наиболее частых заболеваний современности, при этом она ведёт к развитию сердечно-сосудистых заболеваний, с появлением которых жизнь становится не в радость. 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-426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Артериальная гипертония (АГ)</w:t>
      </w: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 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-</w:t>
      </w: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 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периодическое или стойкое повышение артериального давления (АД). По данным Всемирной организации здравоохранения установлено, что безопасный уровень артериального давления составляет менее 140/90 мм рт.ст.</w:t>
      </w: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 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b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b/>
          <w:sz w:val="24"/>
          <w:szCs w:val="24"/>
          <w:lang w:val="en" w:eastAsia="ru-RU"/>
        </w:rPr>
        <w:t>Классификация уровней артериального давления</w:t>
      </w:r>
    </w:p>
    <w:tbl>
      <w:tblPr>
        <w:tblW w:w="507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8"/>
        <w:gridCol w:w="3118"/>
        <w:gridCol w:w="2977"/>
      </w:tblGrid>
      <w:tr w:rsidR="00A2012D" w:rsidRPr="00A2012D" w:rsidTr="00A2012D">
        <w:trPr>
          <w:tblHeader/>
        </w:trPr>
        <w:tc>
          <w:tcPr>
            <w:tcW w:w="1843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before="100" w:beforeAutospacing="1" w:after="100" w:afterAutospacing="1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</w:t>
            </w:r>
          </w:p>
        </w:tc>
        <w:tc>
          <w:tcPr>
            <w:tcW w:w="1615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Систолическое АД</w:t>
            </w:r>
          </w:p>
        </w:tc>
        <w:tc>
          <w:tcPr>
            <w:tcW w:w="1542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Диастолическое АД,</w:t>
            </w:r>
          </w:p>
        </w:tc>
      </w:tr>
      <w:tr w:rsidR="00A2012D" w:rsidRPr="00A2012D" w:rsidTr="00A2012D">
        <w:tc>
          <w:tcPr>
            <w:tcW w:w="1843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АД</w:t>
            </w:r>
          </w:p>
        </w:tc>
        <w:tc>
          <w:tcPr>
            <w:tcW w:w="1615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120-129</w:t>
            </w:r>
          </w:p>
        </w:tc>
        <w:tc>
          <w:tcPr>
            <w:tcW w:w="1542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</w:tr>
      <w:tr w:rsidR="00A2012D" w:rsidRPr="00A2012D" w:rsidTr="00A2012D">
        <w:trPr>
          <w:trHeight w:val="663"/>
        </w:trPr>
        <w:tc>
          <w:tcPr>
            <w:tcW w:w="1843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степень артериальной</w:t>
            </w:r>
          </w:p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гипертонии (мягкая)</w:t>
            </w:r>
          </w:p>
        </w:tc>
        <w:tc>
          <w:tcPr>
            <w:tcW w:w="1615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140-159</w:t>
            </w:r>
          </w:p>
        </w:tc>
        <w:tc>
          <w:tcPr>
            <w:tcW w:w="1542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</w:tr>
      <w:tr w:rsidR="00A2012D" w:rsidRPr="00A2012D" w:rsidTr="00A2012D">
        <w:tc>
          <w:tcPr>
            <w:tcW w:w="1843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степень артериальной </w:t>
            </w:r>
          </w:p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гипертонии (умеренная)</w:t>
            </w:r>
          </w:p>
        </w:tc>
        <w:tc>
          <w:tcPr>
            <w:tcW w:w="1615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160-179</w:t>
            </w:r>
          </w:p>
        </w:tc>
        <w:tc>
          <w:tcPr>
            <w:tcW w:w="1542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A2012D" w:rsidRPr="00A2012D" w:rsidTr="00A2012D">
        <w:tc>
          <w:tcPr>
            <w:tcW w:w="1843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степень артериальной </w:t>
            </w:r>
          </w:p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гипертонии (тяжелая)</w:t>
            </w:r>
          </w:p>
        </w:tc>
        <w:tc>
          <w:tcPr>
            <w:tcW w:w="1615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и более</w:t>
            </w:r>
          </w:p>
        </w:tc>
        <w:tc>
          <w:tcPr>
            <w:tcW w:w="1542" w:type="pct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и более</w:t>
            </w:r>
          </w:p>
        </w:tc>
      </w:tr>
    </w:tbl>
    <w:p w:rsidR="00A2012D" w:rsidRPr="00A2012D" w:rsidRDefault="00A2012D" w:rsidP="00A2012D">
      <w:pPr>
        <w:pBdr>
          <w:top w:val="single" w:sz="6" w:space="0" w:color="E0E0E0"/>
          <w:left w:val="single" w:sz="6" w:space="31" w:color="E0E0E0"/>
          <w:bottom w:val="single" w:sz="6" w:space="0" w:color="E0E0E0"/>
          <w:right w:val="single" w:sz="6" w:space="0" w:color="E0E0E0"/>
        </w:pBdr>
        <w:spacing w:after="0" w:line="240" w:lineRule="auto"/>
        <w:ind w:left="720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 xml:space="preserve">  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31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-284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Артериальное давление (АД) -</w:t>
      </w: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 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сила, с которой поток крови давит на сосуды и питаемые ими органы: мозг, сердце, почки. При длительно текущей АГ вышеперечисленные патологические процессы (даже при отсутствии жалоб) могут привести к инсульту, ишемической болезни сердца (стенокардия), инфаркту миокарда, сердечной и почечной недостаточности. Резкие и неожиданные скачки артериального давления могут спровоцировать сильные головные боли и головокружения, которые нельзя будет снять традиционными препаратами.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31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-284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Полностью вылечить это заболевание невозможно, однако артериальное давление можно держать под контролём. Чем раньше Вы выявили артериальную гипертонию и начали за ней наблюдать в динамике, тем меньше риск развития осложнений гипертонической болезни в будущем.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31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b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b/>
          <w:i/>
          <w:iCs/>
          <w:sz w:val="24"/>
          <w:szCs w:val="24"/>
          <w:lang w:eastAsia="ru-RU"/>
        </w:rPr>
        <w:t>Не измеряя артериальное давление, невозможно выявить заболевание!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31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-284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Причины артериальной гипертонии остаются неизвестными в 90% случаев. Тем не менее, известны определённые факторы, увеличивающие риск развития артериальной гипертензии: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Возраст (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 xml:space="preserve">повышенное АД наиболее часто развивается у лиц старше 35 лет, причём, чем старше человек, тем, как правило, выше цифры его АД. С возрастом стенки крупных 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lastRenderedPageBreak/>
        <w:t>артерий становятся более ригидными, а из-за этого повышается сопротивление сосудов кровотоку, следовательно, повышается АД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).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Наследственная предрасположенность (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АГ у родственников первой степени (отец, мать, бабушки, дедушки, родные братья и сёстры) достоверно означает повышенную вероятность развития болезни. Риск возрастает ещё больше, если повышенное АД имелось у двух и более родственников).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Курение 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(компоненты табачного дыма, попадая в кровь, вызывают спазм сосудов. Не только никотин, но и другие вещества, содержащиеся в табаке, способствуют механическому повреждению стенок артерий, что предрасполагает к образованию в этом месте атеросклеротических бляшек).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Чрезмерное употребление алкоголя (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ежедневное употребление крепких спиртных напитков увеличивает АД на 5-6 мм.рт.ст. в год).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Чрезмерная подверженность стрессам 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(гормон стресса адреналин заставляет сердце биться, перекачивая большой объём крови в единицу времени, вследствие чего АД повышается).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 Если стресс продолжается длительное время, то постоянная нагрузка изнашивает сосуды и повышение АД становится хроническим.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Атеросклероз (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избыток холестерина ведёт к потере артериями эластичности, а атеросклеротические бляшки сужают просвет сосудов, что затрудняет работу сердца. Всё это ведёт к повышению АД).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 Однако и гипертония, в свою очередь, подстёгивает развитие атеросклероза, так, что эти заболевания являются факторами риска друг друга.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  <w:tab w:val="num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Чрезмерное потребление соли (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 xml:space="preserve">человек потребляет с пищей гораздо больше поваренной соли, чем это необходимо его организму. Избыток соли в организме часто ведёт к спазму артерий, задержке жидкости в организме и, как следствие, к развитию 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val="en" w:eastAsia="ru-RU"/>
        </w:rPr>
        <w:t>АГ</w:t>
      </w: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).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  <w:tab w:val="num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Ожирение (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люди с избыточной массой тела имеют более высокое АД, чем худые). Подсчитано, что каждый килограмм лишнего веса означает увеличение АД на 2 мм.рт.ст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).</w:t>
      </w:r>
    </w:p>
    <w:p w:rsidR="00A2012D" w:rsidRPr="00A2012D" w:rsidRDefault="00A2012D" w:rsidP="00E327A9">
      <w:pPr>
        <w:numPr>
          <w:ilvl w:val="1"/>
          <w:numId w:val="20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  <w:tab w:val="num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Недостаточная физическая активность (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люди, ведущие малоподвижный образ жизни, на 20-50% больше рискуют заболеть АГ, чем те, кто активно занимается спортом или физическим трудом. Нетренированное сердце хуже справляется с нагрузками, а обмен веществ происходит медленнее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).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b/>
          <w:sz w:val="24"/>
          <w:szCs w:val="24"/>
          <w:lang w:eastAsia="ru-RU"/>
        </w:rPr>
      </w:pPr>
      <w:r w:rsidRPr="00E327A9">
        <w:rPr>
          <w:rFonts w:ascii="Roboto" w:eastAsia="Times New Roman" w:hAnsi="Roboto" w:cs="Arial"/>
          <w:b/>
          <w:i/>
          <w:iCs/>
          <w:sz w:val="24"/>
          <w:szCs w:val="24"/>
          <w:u w:val="single"/>
          <w:lang w:eastAsia="ru-RU"/>
        </w:rPr>
        <w:t>ПРОФИЛАКТИКА АРТЕРИАЛЬНОЙ ГИПЕРТОНИИ: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720" w:hanging="1004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Профилактика артериальной гипертонии подразделяется на первичную и вторичную.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-284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ПЕРВИЧНАЯ ПРОФИЛАКТИКА ГИПЕРТОНИИ – 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это предупреждение возникновения болезни. Т.е. данной профилактики должны придерживаться здоровые люди, тем чьё АД пока не превышает нормальных цифр.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 Приведённый ниже комплекс оздоровительных мер поможет не только долгие годы удерживать АД в норме, но и избавиться от лишнего веса и значительно улучшить общее самочувствие.</w:t>
      </w:r>
    </w:p>
    <w:p w:rsidR="00A2012D" w:rsidRPr="00A2012D" w:rsidRDefault="00A2012D" w:rsidP="00A2012D">
      <w:pPr>
        <w:numPr>
          <w:ilvl w:val="1"/>
          <w:numId w:val="21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u w:val="single"/>
          <w:lang w:val="en" w:eastAsia="ru-RU"/>
        </w:rPr>
        <w:t>Физическая нагрузка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-284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Любые физические упражнения у лиц с мягкой и умеренной АГ способствуют повышению физической работоспособности организма. Упражнения, направленные на тренировку выносливости (общеукрепляющие, дыхательные упражнения, занятия на тренажёрах, плавание, ходьба, бег, езда на велосипеде) приводят к заметному антигипертензивному эффекту. Рекомендуется уделять физическим упражнениям по 30 минут в день, постепенно увеличивая нагрузку от слабой до умеренной (3-5 раз в неделю).</w:t>
      </w:r>
    </w:p>
    <w:p w:rsidR="00A2012D" w:rsidRPr="00A2012D" w:rsidRDefault="00A2012D" w:rsidP="00A2012D">
      <w:pPr>
        <w:numPr>
          <w:ilvl w:val="1"/>
          <w:numId w:val="21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u w:val="single"/>
          <w:lang w:val="en" w:eastAsia="ru-RU"/>
        </w:rPr>
        <w:t>Низкосолевая диета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Количество поваренной соли следует ограничить до 5 грамм (1 чайная ложка). Следует учесть, что многие продукты (сыры, копчёности, соления, колбасные изделия, консервы, 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 xml:space="preserve">майонез и др.) сами по себе содержат много соли. Итак, 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уберите со стола солонку и никогда не досаливайте готовые блюда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. Заменяйте соль пряными травами, чесноком. Если обходиться без соли трудно, можно приобрести соль с пониженным содержанием натрия, вкус которой почти не отличается от обычной соли.</w:t>
      </w:r>
    </w:p>
    <w:p w:rsidR="00A2012D" w:rsidRPr="00A2012D" w:rsidRDefault="00A2012D" w:rsidP="00A2012D">
      <w:pPr>
        <w:numPr>
          <w:ilvl w:val="1"/>
          <w:numId w:val="21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u w:val="single"/>
          <w:lang w:val="en" w:eastAsia="ru-RU"/>
        </w:rPr>
        <w:t>Ограничение животных жиров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Постепенно вытесните из своего рациона сливочное масло, сыры, колбасы, сметану, сало и жареные котлеты дополнительным количеством овощей и фруктов, растительного масла и нежирной рыбы. Предпочитайте обезжиренные молочные продукты. Таким образом, Вы сможете контролировать содержание холестерина в крови (профилактика атеросклероза), нормализовать вес и одновременно обогатить свой рацион калием, который очень полезен при артериальной гипертонии. Источниками калия являются различные фрукты и овощи. Желательно есть не менее 5 порций овощных или фруктовых салатов, десертов в день.</w:t>
      </w:r>
    </w:p>
    <w:p w:rsidR="00A2012D" w:rsidRPr="00A2012D" w:rsidRDefault="00A2012D" w:rsidP="00A2012D">
      <w:pPr>
        <w:numPr>
          <w:ilvl w:val="1"/>
          <w:numId w:val="21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u w:val="single"/>
          <w:lang w:val="en" w:eastAsia="ru-RU"/>
        </w:rPr>
        <w:t>Психологическая разгрузка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Стресс – одна из основных причин повышения АД. Поэтому очень важно освоить методы психологической разгрузки – аутотренинг, самовнушение, медитацию. Важно стремиться видеть во всём положительные стороны, находить в жизни радость, работать над своим характером, меняя его в сторону большей терпимости к чужим недостаткам, оптимизма, уравновешенности. Пешие прогулки, спорт, хобби и общение с домашними животными также помогают поддерживать душевное равновесие.</w:t>
      </w:r>
    </w:p>
    <w:p w:rsidR="00A2012D" w:rsidRPr="00A2012D" w:rsidRDefault="00A2012D" w:rsidP="00A2012D">
      <w:pPr>
        <w:numPr>
          <w:ilvl w:val="1"/>
          <w:numId w:val="21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u w:val="single"/>
          <w:lang w:val="en" w:eastAsia="ru-RU"/>
        </w:rPr>
        <w:t>Отказ от вредных привычек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Вредные привычки и АГ – это страшное сочетание, которое в большинстве случаев ведёт к трагическим последствиям. Следует полностью отказаться от курения, а также сократить дозу употребления алкоголя. Для крепких напитков (40</w:t>
      </w:r>
      <w:r w:rsidRPr="00A2012D">
        <w:rPr>
          <w:rFonts w:ascii="Roboto" w:eastAsia="Times New Roman" w:hAnsi="Roboto" w:cs="Arial"/>
          <w:sz w:val="18"/>
          <w:szCs w:val="18"/>
          <w:vertAlign w:val="superscript"/>
          <w:lang w:eastAsia="ru-RU"/>
        </w:rPr>
        <w:t>о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>) она составляет 50 г/сут.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ВТОРИЧНАЯ ПРОФИЛАКТИКА ГИПЕРТОНИИ - </w:t>
      </w:r>
      <w:r w:rsidRPr="00A2012D">
        <w:rPr>
          <w:rFonts w:ascii="Roboto" w:eastAsia="Times New Roman" w:hAnsi="Roboto" w:cs="Arial"/>
          <w:i/>
          <w:iCs/>
          <w:sz w:val="24"/>
          <w:szCs w:val="24"/>
          <w:lang w:eastAsia="ru-RU"/>
        </w:rPr>
        <w:t>проводится, если у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</w:t>
      </w: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. Вторичная профилактика включает в себя два компонента: немедикаментозное лечение артериальной гипертонии и антигипертензивную </w:t>
      </w: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(лекарственную) терапию.</w:t>
      </w:r>
    </w:p>
    <w:p w:rsidR="00A2012D" w:rsidRPr="00A2012D" w:rsidRDefault="00A2012D" w:rsidP="00A2012D">
      <w:pPr>
        <w:numPr>
          <w:ilvl w:val="1"/>
          <w:numId w:val="21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u w:val="single"/>
          <w:lang w:val="en" w:eastAsia="ru-RU"/>
        </w:rPr>
        <w:t>Немедикаментозное лечение гипертонии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 xml:space="preserve">Соответствует первичной профилактике, но проводится в более жёсткой форме. Если наследственность и окружающую среду каждый отдельный человек изменить не в состоянии, то образ жизни и питание – вполне. </w:t>
      </w: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Все ограничения становятся непреложными правилами поведения.</w:t>
      </w:r>
    </w:p>
    <w:p w:rsidR="00A2012D" w:rsidRPr="00A2012D" w:rsidRDefault="00A2012D" w:rsidP="00A2012D">
      <w:pPr>
        <w:numPr>
          <w:ilvl w:val="1"/>
          <w:numId w:val="21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u w:val="single"/>
          <w:lang w:val="en" w:eastAsia="ru-RU"/>
        </w:rPr>
        <w:t>Антигипертензивная (лекарственная) терапия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Данная терапия связана с приёмом определённого комплекса препаратов, которые целенаправленно действуют на высокий уровень АД, снижая его. Курс приёма таких лекарственных средств назначается пожизненно, предупреждая тем самым риск развития сердечно-сосудистых осложнений.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1786"/>
        <w:rPr>
          <w:rFonts w:ascii="Roboto" w:eastAsia="Times New Roman" w:hAnsi="Roboto" w:cs="Arial"/>
          <w:b/>
          <w:sz w:val="24"/>
          <w:szCs w:val="24"/>
          <w:lang w:eastAsia="ru-RU"/>
        </w:rPr>
      </w:pPr>
      <w:r w:rsidRPr="00E327A9">
        <w:rPr>
          <w:rFonts w:ascii="Roboto" w:eastAsia="Times New Roman" w:hAnsi="Roboto" w:cs="Arial"/>
          <w:b/>
          <w:i/>
          <w:iCs/>
          <w:sz w:val="24"/>
          <w:szCs w:val="24"/>
          <w:u w:val="single"/>
          <w:lang w:eastAsia="ru-RU"/>
        </w:rPr>
        <w:lastRenderedPageBreak/>
        <w:t>Итак, если Вам поставили диагноз артериальной гипертонии, то Вам необходимо:</w:t>
      </w:r>
    </w:p>
    <w:p w:rsidR="00A2012D" w:rsidRPr="00A2012D" w:rsidRDefault="00A2012D" w:rsidP="00E327A9">
      <w:pPr>
        <w:numPr>
          <w:ilvl w:val="1"/>
          <w:numId w:val="22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обязательно принимать все препараты, которые назначил врач (соблюдайте рекомендации врача и обязательно прочитайте инструкцию);</w:t>
      </w:r>
    </w:p>
    <w:p w:rsidR="00A2012D" w:rsidRPr="00A2012D" w:rsidRDefault="00A2012D" w:rsidP="00E327A9">
      <w:pPr>
        <w:numPr>
          <w:ilvl w:val="1"/>
          <w:numId w:val="22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никогда не пропускайте приём лекарств из-за того, что Ваше артериальное давление в норме. Лучше обсудите Ваши наблюдения с врачом;</w:t>
      </w:r>
    </w:p>
    <w:p w:rsidR="00A2012D" w:rsidRPr="00A2012D" w:rsidRDefault="00A2012D" w:rsidP="00E327A9">
      <w:pPr>
        <w:numPr>
          <w:ilvl w:val="1"/>
          <w:numId w:val="22"/>
        </w:num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eastAsia="ru-RU"/>
        </w:rPr>
        <w:t>не прекращайте приём препаратов, если показатели АД стали нормальными. Они стали нормальными именно потому, что Вы принимаете медикаменты.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after="0" w:line="240" w:lineRule="auto"/>
        <w:ind w:left="720"/>
        <w:rPr>
          <w:rFonts w:ascii="Roboto" w:eastAsia="Times New Roman" w:hAnsi="Roboto" w:cs="Arial"/>
          <w:b/>
          <w:sz w:val="24"/>
          <w:szCs w:val="24"/>
          <w:lang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t> 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after="0" w:line="240" w:lineRule="auto"/>
        <w:ind w:left="720"/>
        <w:jc w:val="center"/>
        <w:rPr>
          <w:rFonts w:ascii="Roboto" w:eastAsia="Times New Roman" w:hAnsi="Roboto" w:cs="Arial"/>
          <w:b/>
          <w:sz w:val="24"/>
          <w:szCs w:val="24"/>
          <w:lang w:val="en" w:eastAsia="ru-RU"/>
        </w:rPr>
      </w:pPr>
      <w:r w:rsidRPr="00E327A9">
        <w:rPr>
          <w:rFonts w:ascii="Roboto" w:eastAsia="Times New Roman" w:hAnsi="Roboto" w:cs="Arial"/>
          <w:b/>
          <w:i/>
          <w:iCs/>
          <w:sz w:val="24"/>
          <w:szCs w:val="24"/>
          <w:lang w:val="en" w:eastAsia="ru-RU"/>
        </w:rPr>
        <w:t>БУДЬТЕ ЗДОРОВЫ!</w:t>
      </w:r>
    </w:p>
    <w:p w:rsidR="00A2012D" w:rsidRPr="00A2012D" w:rsidRDefault="00A2012D" w:rsidP="00E327A9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after="0" w:line="240" w:lineRule="auto"/>
        <w:ind w:left="720"/>
        <w:jc w:val="center"/>
        <w:rPr>
          <w:rFonts w:ascii="Roboto" w:eastAsia="Times New Roman" w:hAnsi="Roboto" w:cs="Arial"/>
          <w:b/>
          <w:sz w:val="24"/>
          <w:szCs w:val="24"/>
          <w:lang w:val="en" w:eastAsia="ru-RU"/>
        </w:rPr>
      </w:pPr>
      <w:r w:rsidRPr="00E327A9">
        <w:rPr>
          <w:rFonts w:ascii="Roboto" w:eastAsia="Times New Roman" w:hAnsi="Roboto" w:cs="Arial"/>
          <w:b/>
          <w:i/>
          <w:iCs/>
          <w:sz w:val="24"/>
          <w:szCs w:val="24"/>
          <w:lang w:val="en" w:eastAsia="ru-RU"/>
        </w:rPr>
        <w:t>НЕ БОЛЕЙТЕ!</w:t>
      </w:r>
    </w:p>
    <w:p w:rsidR="00A2012D" w:rsidRPr="00A2012D" w:rsidRDefault="00A2012D" w:rsidP="00A2012D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sz w:val="24"/>
          <w:szCs w:val="24"/>
          <w:lang w:val="en" w:eastAsia="ru-RU"/>
        </w:rPr>
      </w:pPr>
      <w:r w:rsidRPr="00A2012D">
        <w:rPr>
          <w:rFonts w:ascii="Roboto" w:eastAsia="Times New Roman" w:hAnsi="Roboto" w:cs="Arial"/>
          <w:sz w:val="24"/>
          <w:szCs w:val="24"/>
          <w:lang w:val="en" w:eastAsia="ru-RU"/>
        </w:rPr>
        <w:br/>
        <w:t> </w:t>
      </w:r>
    </w:p>
    <w:p w:rsidR="00D51EE5" w:rsidRPr="00A2012D" w:rsidRDefault="00D51EE5" w:rsidP="00A2012D"/>
    <w:sectPr w:rsidR="00D51EE5" w:rsidRPr="00A2012D" w:rsidSect="00972A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213"/>
    <w:multiLevelType w:val="multilevel"/>
    <w:tmpl w:val="A7F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47128"/>
    <w:multiLevelType w:val="multilevel"/>
    <w:tmpl w:val="B7B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564B"/>
    <w:multiLevelType w:val="multilevel"/>
    <w:tmpl w:val="7728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239DD"/>
    <w:multiLevelType w:val="multilevel"/>
    <w:tmpl w:val="38A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86BAD"/>
    <w:multiLevelType w:val="multilevel"/>
    <w:tmpl w:val="331E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A11C8"/>
    <w:multiLevelType w:val="multilevel"/>
    <w:tmpl w:val="94C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75893"/>
    <w:multiLevelType w:val="multilevel"/>
    <w:tmpl w:val="97E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6642B"/>
    <w:multiLevelType w:val="multilevel"/>
    <w:tmpl w:val="117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B75AA"/>
    <w:multiLevelType w:val="multilevel"/>
    <w:tmpl w:val="938A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A7E11"/>
    <w:multiLevelType w:val="multilevel"/>
    <w:tmpl w:val="2CC6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3666F"/>
    <w:multiLevelType w:val="multilevel"/>
    <w:tmpl w:val="0AA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10E47"/>
    <w:multiLevelType w:val="multilevel"/>
    <w:tmpl w:val="D35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A1FEC"/>
    <w:multiLevelType w:val="multilevel"/>
    <w:tmpl w:val="CA9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B164B"/>
    <w:multiLevelType w:val="multilevel"/>
    <w:tmpl w:val="E06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05579"/>
    <w:multiLevelType w:val="multilevel"/>
    <w:tmpl w:val="A4EC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6625E"/>
    <w:multiLevelType w:val="multilevel"/>
    <w:tmpl w:val="FB8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F1635"/>
    <w:multiLevelType w:val="multilevel"/>
    <w:tmpl w:val="4B8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4131C"/>
    <w:multiLevelType w:val="multilevel"/>
    <w:tmpl w:val="A80A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E5BC9"/>
    <w:multiLevelType w:val="multilevel"/>
    <w:tmpl w:val="1168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518F7"/>
    <w:multiLevelType w:val="multilevel"/>
    <w:tmpl w:val="DD0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15"/>
  </w:num>
  <w:num w:numId="19">
    <w:abstractNumId w:val="1"/>
  </w:num>
  <w:num w:numId="20">
    <w:abstractNumId w:val="12"/>
  </w:num>
  <w:num w:numId="21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6"/>
    <w:rsid w:val="004A7C97"/>
    <w:rsid w:val="00677ECB"/>
    <w:rsid w:val="00972AE4"/>
    <w:rsid w:val="00A2012D"/>
    <w:rsid w:val="00CE4F56"/>
    <w:rsid w:val="00D51EE5"/>
    <w:rsid w:val="00D7319E"/>
    <w:rsid w:val="00E327A9"/>
    <w:rsid w:val="00F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E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1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51EE5"/>
    <w:rPr>
      <w:color w:val="9A7A22"/>
      <w:u w:val="single"/>
    </w:rPr>
  </w:style>
  <w:style w:type="paragraph" w:customStyle="1" w:styleId="form-submit">
    <w:name w:val="form-submit"/>
    <w:basedOn w:val="a"/>
    <w:rsid w:val="00D5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D51EE5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text1">
    <w:name w:val="rating-text1"/>
    <w:basedOn w:val="a0"/>
    <w:rsid w:val="00D51EE5"/>
    <w:rPr>
      <w:vanish w:val="0"/>
      <w:webHidden w:val="0"/>
      <w:sz w:val="21"/>
      <w:szCs w:val="21"/>
      <w:specVanish w:val="0"/>
    </w:rPr>
  </w:style>
  <w:style w:type="character" w:customStyle="1" w:styleId="spanlink1">
    <w:name w:val="spanlink1"/>
    <w:basedOn w:val="a0"/>
    <w:rsid w:val="00D51EE5"/>
    <w:rPr>
      <w:color w:val="9A7A22"/>
    </w:rPr>
  </w:style>
  <w:style w:type="character" w:customStyle="1" w:styleId="social-likesbutton2">
    <w:name w:val="social-likes__button2"/>
    <w:basedOn w:val="a0"/>
    <w:rsid w:val="00D51EE5"/>
    <w:rPr>
      <w:rFonts w:ascii="Arial" w:hAnsi="Arial" w:cs="Arial" w:hint="default"/>
      <w:b/>
      <w:bCs/>
      <w:strike w:val="0"/>
      <w:dstrike w:val="0"/>
      <w:color w:val="FFFFFF"/>
      <w:u w:val="none"/>
      <w:effect w:val="none"/>
      <w:vertAlign w:val="baseli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D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E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677ECB"/>
  </w:style>
  <w:style w:type="character" w:customStyle="1" w:styleId="dateelement1">
    <w:name w:val="dateelement1"/>
    <w:basedOn w:val="a0"/>
    <w:rsid w:val="00677ECB"/>
    <w:rPr>
      <w:color w:val="77A83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7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stamps">
    <w:name w:val="timestamps"/>
    <w:basedOn w:val="a"/>
    <w:rsid w:val="00677ECB"/>
    <w:pPr>
      <w:spacing w:after="12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77E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E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1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51EE5"/>
    <w:rPr>
      <w:color w:val="9A7A22"/>
      <w:u w:val="single"/>
    </w:rPr>
  </w:style>
  <w:style w:type="paragraph" w:customStyle="1" w:styleId="form-submit">
    <w:name w:val="form-submit"/>
    <w:basedOn w:val="a"/>
    <w:rsid w:val="00D5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D51EE5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text1">
    <w:name w:val="rating-text1"/>
    <w:basedOn w:val="a0"/>
    <w:rsid w:val="00D51EE5"/>
    <w:rPr>
      <w:vanish w:val="0"/>
      <w:webHidden w:val="0"/>
      <w:sz w:val="21"/>
      <w:szCs w:val="21"/>
      <w:specVanish w:val="0"/>
    </w:rPr>
  </w:style>
  <w:style w:type="character" w:customStyle="1" w:styleId="spanlink1">
    <w:name w:val="spanlink1"/>
    <w:basedOn w:val="a0"/>
    <w:rsid w:val="00D51EE5"/>
    <w:rPr>
      <w:color w:val="9A7A22"/>
    </w:rPr>
  </w:style>
  <w:style w:type="character" w:customStyle="1" w:styleId="social-likesbutton2">
    <w:name w:val="social-likes__button2"/>
    <w:basedOn w:val="a0"/>
    <w:rsid w:val="00D51EE5"/>
    <w:rPr>
      <w:rFonts w:ascii="Arial" w:hAnsi="Arial" w:cs="Arial" w:hint="default"/>
      <w:b/>
      <w:bCs/>
      <w:strike w:val="0"/>
      <w:dstrike w:val="0"/>
      <w:color w:val="FFFFFF"/>
      <w:u w:val="none"/>
      <w:effect w:val="none"/>
      <w:vertAlign w:val="baseli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D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E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677ECB"/>
  </w:style>
  <w:style w:type="character" w:customStyle="1" w:styleId="dateelement1">
    <w:name w:val="dateelement1"/>
    <w:basedOn w:val="a0"/>
    <w:rsid w:val="00677ECB"/>
    <w:rPr>
      <w:color w:val="77A83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7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stamps">
    <w:name w:val="timestamps"/>
    <w:basedOn w:val="a"/>
    <w:rsid w:val="00677ECB"/>
    <w:pPr>
      <w:spacing w:after="12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77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85">
          <w:marLeft w:val="0"/>
          <w:marRight w:val="0"/>
          <w:marTop w:val="5100"/>
          <w:marBottom w:val="7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407">
                      <w:marLeft w:val="45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59969">
                              <w:blockQuote w:val="1"/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252">
                              <w:blockQuote w:val="1"/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40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1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05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45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56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80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578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370961">
                      <w:marLeft w:val="450"/>
                      <w:marRight w:val="4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617294">
                      <w:marLeft w:val="450"/>
                      <w:marRight w:val="4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86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19023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4855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404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324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86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1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97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4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3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221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8926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68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18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6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650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864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9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0227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876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8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291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284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942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63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293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640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7373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55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09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9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984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5996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56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240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818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2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6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2017-04-24T07:52:00Z</cp:lastPrinted>
  <dcterms:created xsi:type="dcterms:W3CDTF">2017-04-26T10:19:00Z</dcterms:created>
  <dcterms:modified xsi:type="dcterms:W3CDTF">2017-04-26T10:19:00Z</dcterms:modified>
</cp:coreProperties>
</file>